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sz w:val="24"/>
          <w:szCs w:val="24"/>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pPr>
      <w:r w:rsidDel="00000000" w:rsidR="00000000" w:rsidRPr="00000000">
        <w:rPr>
          <w:sz w:val="24"/>
          <w:szCs w:val="24"/>
          <w:rtl w:val="0"/>
        </w:rPr>
        <w:t xml:space="preserve">CO will meet with the supplier on a monthly basis virtually and have formal contract management meetings twice a year, the dates of which will be agreed with the supplier at Contract commencement. </w:t>
      </w:r>
    </w:p>
    <w:bookmarkStart w:colFirst="0" w:colLast="0" w:name="1fob9te" w:id="2"/>
    <w:bookmarkEnd w:id="2"/>
    <w:bookmarkStart w:colFirst="0" w:colLast="0" w:name="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RM6273 Employee Benefits and Services</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2et92p0" w:id="4"/>
  <w:bookmarkEnd w:id="4"/>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